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6EB0" w14:textId="77777777" w:rsidR="006C37D8" w:rsidRPr="00834977" w:rsidRDefault="006C37D8" w:rsidP="006C37D8">
      <w:pPr>
        <w:jc w:val="center"/>
        <w:rPr>
          <w:rFonts w:ascii="Times New Roman" w:hAnsi="Times New Roman"/>
          <w:bCs/>
          <w:color w:val="000000"/>
          <w:sz w:val="36"/>
          <w:szCs w:val="36"/>
          <w:lang w:val="en-GB"/>
        </w:rPr>
      </w:pPr>
      <w:r w:rsidRPr="00834977">
        <w:rPr>
          <w:rFonts w:ascii="Times New Roman" w:hAnsi="Times New Roman"/>
          <w:bCs/>
          <w:color w:val="000000"/>
          <w:sz w:val="36"/>
          <w:szCs w:val="36"/>
          <w:lang w:val="en-GB"/>
        </w:rPr>
        <w:t>AMPERE 2023 Abstract Template</w:t>
      </w:r>
    </w:p>
    <w:p w14:paraId="59F90DFC" w14:textId="77777777" w:rsidR="006C37D8" w:rsidRPr="002A26A0" w:rsidRDefault="006C37D8" w:rsidP="006C37D8">
      <w:pPr>
        <w:rPr>
          <w:rFonts w:ascii="Times New Roman" w:hAnsi="Times New Roman"/>
          <w:sz w:val="20"/>
          <w:lang w:val="en-GB"/>
        </w:rPr>
      </w:pPr>
    </w:p>
    <w:p w14:paraId="429A514A" w14:textId="223F45E5" w:rsidR="006C37D8" w:rsidRPr="002A26A0" w:rsidRDefault="006C37D8" w:rsidP="006C37D8">
      <w:pPr>
        <w:jc w:val="center"/>
        <w:rPr>
          <w:rFonts w:ascii="Times New Roman" w:hAnsi="Times New Roman"/>
          <w:position w:val="6"/>
          <w:szCs w:val="24"/>
          <w:lang w:val="en-GB"/>
        </w:rPr>
      </w:pPr>
      <w:r w:rsidRPr="002A26A0">
        <w:rPr>
          <w:rFonts w:ascii="Times New Roman" w:hAnsi="Times New Roman"/>
          <w:color w:val="000000"/>
          <w:szCs w:val="24"/>
          <w:lang w:val="en-GB"/>
        </w:rPr>
        <w:t>A. Author</w:t>
      </w:r>
      <w:r w:rsidRPr="002A26A0">
        <w:rPr>
          <w:rFonts w:ascii="Times New Roman" w:hAnsi="Times New Roman"/>
          <w:color w:val="000000"/>
          <w:szCs w:val="24"/>
          <w:vertAlign w:val="superscript"/>
          <w:lang w:val="en-GB"/>
        </w:rPr>
        <w:t>1</w:t>
      </w:r>
      <w:r w:rsidRPr="002A26A0">
        <w:rPr>
          <w:rFonts w:ascii="Times New Roman" w:hAnsi="Times New Roman"/>
          <w:color w:val="000000"/>
          <w:szCs w:val="24"/>
          <w:lang w:val="en-GB"/>
        </w:rPr>
        <w:t>, B. Author</w:t>
      </w:r>
      <w:r w:rsidRPr="002A26A0">
        <w:rPr>
          <w:rFonts w:ascii="Times New Roman" w:hAnsi="Times New Roman"/>
          <w:color w:val="000000"/>
          <w:szCs w:val="24"/>
          <w:vertAlign w:val="superscript"/>
          <w:lang w:val="en-GB"/>
        </w:rPr>
        <w:t>2</w:t>
      </w:r>
      <w:r w:rsidRPr="002A26A0">
        <w:rPr>
          <w:rFonts w:ascii="Times New Roman" w:hAnsi="Times New Roman"/>
          <w:color w:val="000000"/>
          <w:szCs w:val="24"/>
          <w:lang w:val="en-GB"/>
        </w:rPr>
        <w:t>, C. Author</w:t>
      </w:r>
      <w:r w:rsidRPr="002A26A0">
        <w:rPr>
          <w:rFonts w:ascii="Times New Roman" w:hAnsi="Times New Roman"/>
          <w:color w:val="000000"/>
          <w:szCs w:val="24"/>
          <w:vertAlign w:val="superscript"/>
          <w:lang w:val="en-GB"/>
        </w:rPr>
        <w:t>1</w:t>
      </w:r>
    </w:p>
    <w:p w14:paraId="352D6E6F" w14:textId="77777777" w:rsidR="006C37D8" w:rsidRPr="002A26A0" w:rsidRDefault="006C37D8" w:rsidP="006C37D8">
      <w:pPr>
        <w:jc w:val="both"/>
        <w:rPr>
          <w:rFonts w:ascii="Times New Roman" w:hAnsi="Times New Roman"/>
          <w:szCs w:val="24"/>
          <w:lang w:val="en-GB"/>
        </w:rPr>
      </w:pPr>
    </w:p>
    <w:p w14:paraId="2AF2570A" w14:textId="77777777" w:rsidR="006C37D8" w:rsidRPr="002A26A0" w:rsidRDefault="006C37D8" w:rsidP="006C37D8">
      <w:pPr>
        <w:jc w:val="both"/>
        <w:rPr>
          <w:rFonts w:ascii="Times New Roman" w:hAnsi="Times New Roman"/>
          <w:i/>
          <w:color w:val="000000"/>
          <w:szCs w:val="24"/>
          <w:lang w:val="en-GB"/>
        </w:rPr>
      </w:pPr>
      <w:r w:rsidRPr="002A26A0">
        <w:rPr>
          <w:rFonts w:ascii="Times New Roman" w:hAnsi="Times New Roman"/>
          <w:i/>
          <w:color w:val="000000"/>
          <w:szCs w:val="24"/>
          <w:vertAlign w:val="superscript"/>
          <w:lang w:val="en-GB"/>
        </w:rPr>
        <w:t>1</w:t>
      </w:r>
      <w:r w:rsidRPr="002A26A0">
        <w:rPr>
          <w:rFonts w:ascii="Times New Roman" w:hAnsi="Times New Roman"/>
          <w:i/>
          <w:color w:val="000000"/>
          <w:szCs w:val="24"/>
          <w:lang w:val="en-GB"/>
        </w:rPr>
        <w:t>Institute of affiliation, Address, City, Country</w:t>
      </w:r>
    </w:p>
    <w:p w14:paraId="2E01F5BF" w14:textId="77777777" w:rsidR="006C37D8" w:rsidRPr="002A26A0" w:rsidRDefault="006C37D8" w:rsidP="006C37D8">
      <w:pPr>
        <w:jc w:val="both"/>
        <w:rPr>
          <w:rFonts w:ascii="Times New Roman" w:hAnsi="Times New Roman"/>
          <w:i/>
          <w:color w:val="000000"/>
          <w:szCs w:val="24"/>
          <w:lang w:val="en-GB"/>
        </w:rPr>
      </w:pPr>
      <w:r w:rsidRPr="002A26A0">
        <w:rPr>
          <w:rFonts w:ascii="Times New Roman" w:hAnsi="Times New Roman"/>
          <w:i/>
          <w:color w:val="000000"/>
          <w:szCs w:val="24"/>
          <w:vertAlign w:val="superscript"/>
          <w:lang w:val="en-GB"/>
        </w:rPr>
        <w:t>2</w:t>
      </w:r>
      <w:r w:rsidRPr="002A26A0">
        <w:rPr>
          <w:rFonts w:ascii="Times New Roman" w:hAnsi="Times New Roman"/>
          <w:i/>
          <w:color w:val="000000"/>
          <w:szCs w:val="24"/>
          <w:lang w:val="en-GB"/>
        </w:rPr>
        <w:t>Institute of affiliation, Address, City, Country</w:t>
      </w:r>
    </w:p>
    <w:p w14:paraId="1C3D756F" w14:textId="77777777" w:rsidR="006C37D8" w:rsidRPr="002A26A0" w:rsidRDefault="006C37D8" w:rsidP="006C37D8">
      <w:pPr>
        <w:jc w:val="both"/>
        <w:rPr>
          <w:rFonts w:ascii="Times New Roman" w:hAnsi="Times New Roman"/>
          <w:i/>
          <w:color w:val="000000"/>
          <w:szCs w:val="24"/>
          <w:lang w:val="en-GB"/>
        </w:rPr>
      </w:pPr>
      <w:r w:rsidRPr="002A26A0">
        <w:rPr>
          <w:rFonts w:ascii="Times New Roman" w:hAnsi="Times New Roman"/>
          <w:i/>
          <w:color w:val="000000"/>
          <w:szCs w:val="24"/>
          <w:lang w:val="en-GB"/>
        </w:rPr>
        <w:t>e-mail@address.com</w:t>
      </w:r>
    </w:p>
    <w:p w14:paraId="7CCEDD04" w14:textId="77777777" w:rsidR="006C37D8" w:rsidRPr="002A26A0" w:rsidRDefault="006C37D8" w:rsidP="006C37D8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2701DD6A" w14:textId="77777777" w:rsidR="006C37D8" w:rsidRPr="002A26A0" w:rsidRDefault="006C37D8" w:rsidP="006C37D8">
      <w:pPr>
        <w:rPr>
          <w:rFonts w:ascii="Times New Roman" w:hAnsi="Times New Roman"/>
          <w:color w:val="000000"/>
          <w:sz w:val="20"/>
          <w:lang w:val="en-GB"/>
        </w:rPr>
      </w:pPr>
      <w:r w:rsidRPr="002A26A0">
        <w:rPr>
          <w:rFonts w:ascii="Times New Roman" w:hAnsi="Times New Roman"/>
          <w:b/>
          <w:color w:val="000000"/>
          <w:sz w:val="20"/>
          <w:lang w:val="en-GB"/>
        </w:rPr>
        <w:t xml:space="preserve">Keywords: </w:t>
      </w:r>
      <w:r w:rsidRPr="002A26A0">
        <w:rPr>
          <w:rFonts w:ascii="Times New Roman" w:hAnsi="Times New Roman"/>
          <w:color w:val="000000"/>
          <w:sz w:val="20"/>
          <w:lang w:val="en-GB"/>
        </w:rPr>
        <w:t>microwave, radiofrequency, dielectric resonators, power applications, plasmas</w:t>
      </w:r>
    </w:p>
    <w:p w14:paraId="0DC393A8" w14:textId="77777777" w:rsidR="006C37D8" w:rsidRPr="002A26A0" w:rsidRDefault="006C37D8" w:rsidP="006C37D8">
      <w:pPr>
        <w:rPr>
          <w:rFonts w:ascii="Times New Roman" w:hAnsi="Times New Roman"/>
          <w:color w:val="000000"/>
          <w:sz w:val="20"/>
          <w:lang w:val="en-GB"/>
        </w:rPr>
      </w:pPr>
    </w:p>
    <w:p w14:paraId="4B5555E7" w14:textId="47EB09F0" w:rsidR="004D239D" w:rsidRDefault="006C37D8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Please submit your abstract in word format, using this template</w:t>
      </w:r>
      <w:r w:rsidR="00C163F1">
        <w:rPr>
          <w:rFonts w:ascii="Times New Roman" w:hAnsi="Times New Roman"/>
          <w:color w:val="000000"/>
          <w:sz w:val="20"/>
          <w:lang w:val="en-GB"/>
        </w:rPr>
        <w:t xml:space="preserve"> along with the copyright form</w:t>
      </w:r>
      <w:r>
        <w:rPr>
          <w:rFonts w:ascii="Times New Roman" w:hAnsi="Times New Roman"/>
          <w:color w:val="000000"/>
          <w:sz w:val="20"/>
          <w:lang w:val="en-GB"/>
        </w:rPr>
        <w:t xml:space="preserve">. </w:t>
      </w:r>
      <w:r w:rsidRPr="002A26A0">
        <w:rPr>
          <w:rFonts w:ascii="Times New Roman" w:hAnsi="Times New Roman"/>
          <w:color w:val="000000"/>
          <w:sz w:val="20"/>
          <w:lang w:val="en-GB"/>
        </w:rPr>
        <w:t xml:space="preserve">Upon submission, your abstract will undergo rigorous peer-review by the Scientific Committee and associated members based on </w:t>
      </w:r>
      <w:r>
        <w:rPr>
          <w:rFonts w:ascii="Times New Roman" w:hAnsi="Times New Roman"/>
          <w:color w:val="000000"/>
          <w:sz w:val="20"/>
          <w:lang w:val="en-GB"/>
        </w:rPr>
        <w:t>its</w:t>
      </w:r>
      <w:r w:rsidRPr="002A26A0">
        <w:rPr>
          <w:rFonts w:ascii="Times New Roman" w:hAnsi="Times New Roman"/>
          <w:color w:val="000000"/>
          <w:sz w:val="20"/>
          <w:lang w:val="en-GB"/>
        </w:rPr>
        <w:t xml:space="preserve"> quality, originality, significance, and clarity of exposition. Accepted abstracts will appear in the conference’s Book of Abstracts.</w:t>
      </w:r>
    </w:p>
    <w:p w14:paraId="46B6EC8C" w14:textId="729DA3CD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736AFB7C" w14:textId="45BEBEF0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 w:rsidRPr="00B03D21">
        <w:rPr>
          <w:rFonts w:ascii="Times New Roman" w:hAnsi="Times New Roman"/>
          <w:color w:val="000000"/>
          <w:sz w:val="20"/>
          <w:lang w:val="en-GB"/>
        </w:rPr>
        <w:t xml:space="preserve">The highest quality submissions will be invited to submit a full article to be published in the inaugural edition of the new journal from AMPERE, to be launched in 2023. </w:t>
      </w:r>
      <w:r w:rsidRPr="00DF1C16">
        <w:rPr>
          <w:rFonts w:ascii="Times New Roman" w:hAnsi="Times New Roman"/>
          <w:color w:val="000000"/>
          <w:sz w:val="20"/>
          <w:lang w:val="en-GB"/>
        </w:rPr>
        <w:t>Papers which have been reviewed and accepted by the committee may still have format problems identified later by the publisher</w:t>
      </w:r>
      <w:r>
        <w:rPr>
          <w:rFonts w:ascii="Times New Roman" w:hAnsi="Times New Roman"/>
          <w:color w:val="000000"/>
          <w:sz w:val="20"/>
          <w:lang w:val="en-GB"/>
        </w:rPr>
        <w:t xml:space="preserve">, which must be corrected </w:t>
      </w:r>
      <w:r w:rsidRPr="00DF1C16">
        <w:rPr>
          <w:rFonts w:ascii="Times New Roman" w:hAnsi="Times New Roman"/>
          <w:color w:val="000000"/>
          <w:sz w:val="20"/>
          <w:lang w:val="en-GB"/>
        </w:rPr>
        <w:t>before publi</w:t>
      </w:r>
      <w:r>
        <w:rPr>
          <w:rFonts w:ascii="Times New Roman" w:hAnsi="Times New Roman"/>
          <w:color w:val="000000"/>
          <w:sz w:val="20"/>
          <w:lang w:val="en-GB"/>
        </w:rPr>
        <w:t>cation</w:t>
      </w:r>
      <w:r w:rsidRPr="00DF1C16">
        <w:rPr>
          <w:rFonts w:ascii="Times New Roman" w:hAnsi="Times New Roman"/>
          <w:color w:val="000000"/>
          <w:sz w:val="20"/>
          <w:lang w:val="en-GB"/>
        </w:rPr>
        <w:t>.</w:t>
      </w:r>
    </w:p>
    <w:p w14:paraId="6A3ECC7D" w14:textId="77777777" w:rsidR="004153BE" w:rsidRPr="00DF1C16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0637CEC6" w14:textId="4EEC4B75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See the author instructions</w:t>
      </w:r>
      <w:r w:rsidR="00C218D1">
        <w:rPr>
          <w:rFonts w:ascii="Times New Roman" w:hAnsi="Times New Roman"/>
          <w:color w:val="000000"/>
          <w:sz w:val="20"/>
          <w:lang w:val="en-GB"/>
        </w:rPr>
        <w:t xml:space="preserve"> on the conference website</w:t>
      </w:r>
      <w:r w:rsidR="00B61F42">
        <w:rPr>
          <w:rFonts w:ascii="Times New Roman" w:hAnsi="Times New Roman"/>
          <w:color w:val="000000"/>
          <w:sz w:val="20"/>
          <w:lang w:val="en-GB"/>
        </w:rPr>
        <w:t xml:space="preserve"> </w:t>
      </w:r>
      <w:r>
        <w:rPr>
          <w:rFonts w:ascii="Times New Roman" w:hAnsi="Times New Roman"/>
          <w:color w:val="000000"/>
          <w:sz w:val="20"/>
          <w:lang w:val="en-GB"/>
        </w:rPr>
        <w:t xml:space="preserve">for submission guidelines. </w:t>
      </w:r>
      <w:r w:rsidR="00AF4C34">
        <w:rPr>
          <w:rFonts w:ascii="Times New Roman" w:hAnsi="Times New Roman"/>
          <w:color w:val="000000"/>
          <w:sz w:val="20"/>
          <w:lang w:val="en-GB"/>
        </w:rPr>
        <w:t>Conference a</w:t>
      </w:r>
      <w:r>
        <w:rPr>
          <w:rFonts w:ascii="Times New Roman" w:hAnsi="Times New Roman"/>
          <w:color w:val="000000"/>
          <w:sz w:val="20"/>
          <w:lang w:val="en-GB"/>
        </w:rPr>
        <w:t xml:space="preserve">bstracts will be submitted </w:t>
      </w:r>
      <w:r w:rsidR="00B03D21">
        <w:rPr>
          <w:rFonts w:ascii="Times New Roman" w:hAnsi="Times New Roman"/>
          <w:color w:val="000000"/>
          <w:sz w:val="20"/>
          <w:lang w:val="en-GB"/>
        </w:rPr>
        <w:t>using</w:t>
      </w:r>
      <w:r>
        <w:rPr>
          <w:rFonts w:ascii="Times New Roman" w:hAnsi="Times New Roman"/>
          <w:color w:val="000000"/>
          <w:sz w:val="20"/>
          <w:lang w:val="en-GB"/>
        </w:rPr>
        <w:t xml:space="preserve"> the </w:t>
      </w:r>
      <w:r w:rsidR="003A5752">
        <w:rPr>
          <w:rFonts w:ascii="Times New Roman" w:hAnsi="Times New Roman"/>
          <w:color w:val="000000"/>
          <w:sz w:val="20"/>
          <w:lang w:val="en-GB"/>
        </w:rPr>
        <w:t>CMT</w:t>
      </w:r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3A1B7D">
        <w:rPr>
          <w:rFonts w:ascii="Times New Roman" w:hAnsi="Times New Roman"/>
          <w:color w:val="000000"/>
          <w:sz w:val="20"/>
          <w:lang w:val="en-GB"/>
        </w:rPr>
        <w:t>platform</w:t>
      </w:r>
      <w:r w:rsidR="003A5752">
        <w:rPr>
          <w:rFonts w:ascii="Times New Roman" w:hAnsi="Times New Roman"/>
          <w:color w:val="000000"/>
          <w:sz w:val="20"/>
          <w:lang w:val="en-GB"/>
        </w:rPr>
        <w:t xml:space="preserve"> accessible </w:t>
      </w:r>
      <w:r w:rsidR="005110CD">
        <w:rPr>
          <w:rFonts w:ascii="Times New Roman" w:hAnsi="Times New Roman"/>
          <w:color w:val="000000"/>
          <w:sz w:val="20"/>
          <w:lang w:val="en-GB"/>
        </w:rPr>
        <w:t xml:space="preserve">here: </w:t>
      </w:r>
      <w:hyperlink r:id="rId7" w:history="1">
        <w:r w:rsidR="00C218D1" w:rsidRPr="005435F5">
          <w:rPr>
            <w:rStyle w:val="Hyperlink"/>
            <w:rFonts w:ascii="Times New Roman" w:hAnsi="Times New Roman"/>
            <w:sz w:val="20"/>
            <w:lang w:val="en-GB"/>
          </w:rPr>
          <w:t>www.ampere2023.com</w:t>
        </w:r>
      </w:hyperlink>
      <w:r>
        <w:rPr>
          <w:rFonts w:ascii="Times New Roman" w:hAnsi="Times New Roman"/>
          <w:color w:val="000000"/>
          <w:sz w:val="20"/>
          <w:lang w:val="en-GB"/>
        </w:rPr>
        <w:t xml:space="preserve">. </w:t>
      </w:r>
      <w:r w:rsidR="0030270B">
        <w:rPr>
          <w:rFonts w:ascii="Times New Roman" w:hAnsi="Times New Roman"/>
          <w:color w:val="000000"/>
          <w:sz w:val="20"/>
          <w:lang w:val="en-GB"/>
        </w:rPr>
        <w:t>Authors</w:t>
      </w:r>
      <w:r w:rsidR="00871EF0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18021F">
        <w:rPr>
          <w:rFonts w:ascii="Times New Roman" w:hAnsi="Times New Roman"/>
          <w:color w:val="000000"/>
          <w:sz w:val="20"/>
          <w:lang w:val="en-GB"/>
        </w:rPr>
        <w:t xml:space="preserve">subsequently </w:t>
      </w:r>
      <w:r w:rsidR="00871EF0">
        <w:rPr>
          <w:rFonts w:ascii="Times New Roman" w:hAnsi="Times New Roman"/>
          <w:color w:val="000000"/>
          <w:sz w:val="20"/>
          <w:lang w:val="en-GB"/>
        </w:rPr>
        <w:t xml:space="preserve">selected </w:t>
      </w:r>
      <w:r w:rsidR="00394F96">
        <w:rPr>
          <w:rFonts w:ascii="Times New Roman" w:hAnsi="Times New Roman"/>
          <w:color w:val="000000"/>
          <w:sz w:val="20"/>
          <w:lang w:val="en-GB"/>
        </w:rPr>
        <w:t>to contribute a</w:t>
      </w:r>
      <w:r w:rsidR="00871EF0">
        <w:rPr>
          <w:rFonts w:ascii="Times New Roman" w:hAnsi="Times New Roman"/>
          <w:color w:val="000000"/>
          <w:sz w:val="20"/>
          <w:lang w:val="en-GB"/>
        </w:rPr>
        <w:t xml:space="preserve"> </w:t>
      </w:r>
      <w:r>
        <w:rPr>
          <w:rFonts w:ascii="Times New Roman" w:hAnsi="Times New Roman"/>
          <w:color w:val="000000"/>
          <w:sz w:val="20"/>
          <w:lang w:val="en-GB"/>
        </w:rPr>
        <w:t>journal p</w:t>
      </w:r>
      <w:r w:rsidR="00871EF0">
        <w:rPr>
          <w:rFonts w:ascii="Times New Roman" w:hAnsi="Times New Roman"/>
          <w:color w:val="000000"/>
          <w:sz w:val="20"/>
          <w:lang w:val="en-GB"/>
        </w:rPr>
        <w:t>ublication</w:t>
      </w:r>
      <w:r w:rsidR="00A91BC7">
        <w:rPr>
          <w:rFonts w:ascii="Times New Roman" w:hAnsi="Times New Roman"/>
          <w:color w:val="000000"/>
          <w:sz w:val="20"/>
          <w:lang w:val="en-GB"/>
        </w:rPr>
        <w:t xml:space="preserve"> will </w:t>
      </w:r>
      <w:r>
        <w:rPr>
          <w:rFonts w:ascii="Times New Roman" w:hAnsi="Times New Roman"/>
          <w:color w:val="000000"/>
          <w:sz w:val="20"/>
          <w:lang w:val="en-GB"/>
        </w:rPr>
        <w:t>submit</w:t>
      </w:r>
      <w:r w:rsidR="00A91BC7">
        <w:rPr>
          <w:rFonts w:ascii="Times New Roman" w:hAnsi="Times New Roman"/>
          <w:color w:val="000000"/>
          <w:sz w:val="20"/>
          <w:lang w:val="en-GB"/>
        </w:rPr>
        <w:t xml:space="preserve"> their </w:t>
      </w:r>
      <w:r w:rsidR="0018021F">
        <w:rPr>
          <w:rFonts w:ascii="Times New Roman" w:hAnsi="Times New Roman"/>
          <w:color w:val="000000"/>
          <w:sz w:val="20"/>
          <w:lang w:val="en-GB"/>
        </w:rPr>
        <w:t xml:space="preserve">full </w:t>
      </w:r>
      <w:r w:rsidR="00A91BC7">
        <w:rPr>
          <w:rFonts w:ascii="Times New Roman" w:hAnsi="Times New Roman"/>
          <w:color w:val="000000"/>
          <w:sz w:val="20"/>
          <w:lang w:val="en-GB"/>
        </w:rPr>
        <w:t>paper</w:t>
      </w:r>
      <w:r>
        <w:rPr>
          <w:rFonts w:ascii="Times New Roman" w:hAnsi="Times New Roman"/>
          <w:color w:val="000000"/>
          <w:sz w:val="20"/>
          <w:lang w:val="en-GB"/>
        </w:rPr>
        <w:t xml:space="preserve"> using the journal platform</w:t>
      </w:r>
      <w:r w:rsidR="008B2251">
        <w:rPr>
          <w:rFonts w:ascii="Times New Roman" w:hAnsi="Times New Roman"/>
          <w:color w:val="000000"/>
          <w:sz w:val="20"/>
          <w:lang w:val="en-GB"/>
        </w:rPr>
        <w:t xml:space="preserve"> (</w:t>
      </w:r>
      <w:r w:rsidR="00BB08D3">
        <w:rPr>
          <w:rFonts w:ascii="Times New Roman" w:hAnsi="Times New Roman"/>
          <w:color w:val="000000"/>
          <w:sz w:val="20"/>
          <w:lang w:val="en-GB"/>
        </w:rPr>
        <w:t xml:space="preserve">further details </w:t>
      </w:r>
      <w:r w:rsidR="005305FF">
        <w:rPr>
          <w:rFonts w:ascii="Times New Roman" w:hAnsi="Times New Roman"/>
          <w:color w:val="000000"/>
          <w:sz w:val="20"/>
          <w:lang w:val="en-GB"/>
        </w:rPr>
        <w:t xml:space="preserve">will be </w:t>
      </w:r>
      <w:r w:rsidR="00BB08D3">
        <w:rPr>
          <w:rFonts w:ascii="Times New Roman" w:hAnsi="Times New Roman"/>
          <w:color w:val="000000"/>
          <w:sz w:val="20"/>
          <w:lang w:val="en-GB"/>
        </w:rPr>
        <w:t>given upon notification of acceptance)</w:t>
      </w:r>
      <w:r w:rsidR="00386271">
        <w:rPr>
          <w:rFonts w:ascii="Times New Roman" w:hAnsi="Times New Roman"/>
          <w:color w:val="000000"/>
          <w:sz w:val="20"/>
          <w:lang w:val="en-GB"/>
        </w:rPr>
        <w:t>.</w:t>
      </w:r>
    </w:p>
    <w:p w14:paraId="0A615654" w14:textId="44CC997E" w:rsidR="00374E0D" w:rsidRDefault="00374E0D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3573AB15" w14:textId="7B0BEBE1" w:rsidR="00C23143" w:rsidRPr="002A26A0" w:rsidRDefault="007D5689" w:rsidP="00356950">
      <w:pPr>
        <w:tabs>
          <w:tab w:val="left" w:pos="-284"/>
        </w:tabs>
        <w:jc w:val="both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Abstract b</w:t>
      </w:r>
      <w:r w:rsidR="00C23143" w:rsidRPr="002A26A0">
        <w:rPr>
          <w:rFonts w:ascii="Times New Roman" w:hAnsi="Times New Roman"/>
          <w:color w:val="000000"/>
          <w:sz w:val="20"/>
          <w:lang w:val="en-GB"/>
        </w:rPr>
        <w:t xml:space="preserve">ody text is 10pt Times New Roman, justified, single spaced. Page size is A4 (210mm x 297mm), top and bottom margins are 20mm and 15mm respectively, </w:t>
      </w:r>
      <w:proofErr w:type="gramStart"/>
      <w:r w:rsidR="00C23143" w:rsidRPr="002A26A0">
        <w:rPr>
          <w:rFonts w:ascii="Times New Roman" w:hAnsi="Times New Roman"/>
          <w:color w:val="000000"/>
          <w:sz w:val="20"/>
          <w:lang w:val="en-GB"/>
        </w:rPr>
        <w:t>left</w:t>
      </w:r>
      <w:proofErr w:type="gramEnd"/>
      <w:r w:rsidR="00C23143" w:rsidRPr="002A26A0">
        <w:rPr>
          <w:rFonts w:ascii="Times New Roman" w:hAnsi="Times New Roman"/>
          <w:color w:val="000000"/>
          <w:sz w:val="20"/>
          <w:lang w:val="en-GB"/>
        </w:rPr>
        <w:t xml:space="preserve"> and right margins are 18mm, and left gutter margin is 5mm. The abstract including all text, references, figures and tables must</w:t>
      </w:r>
      <w:r w:rsidR="00C23143">
        <w:rPr>
          <w:rFonts w:ascii="Times New Roman" w:hAnsi="Times New Roman"/>
          <w:color w:val="000000"/>
          <w:sz w:val="20"/>
          <w:lang w:val="en-GB"/>
        </w:rPr>
        <w:t xml:space="preserve"> be</w:t>
      </w:r>
      <w:r w:rsidR="00C23143" w:rsidRPr="002A26A0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C23143" w:rsidRPr="00260ADD">
        <w:rPr>
          <w:rFonts w:ascii="Times New Roman" w:hAnsi="Times New Roman"/>
          <w:color w:val="000000"/>
          <w:sz w:val="20"/>
          <w:u w:val="single"/>
          <w:lang w:val="en-GB"/>
        </w:rPr>
        <w:t xml:space="preserve">no more than </w:t>
      </w:r>
      <w:r w:rsidR="00C23143" w:rsidRPr="00260ADD">
        <w:rPr>
          <w:rFonts w:ascii="Times New Roman" w:hAnsi="Times New Roman"/>
          <w:b/>
          <w:bCs/>
          <w:color w:val="000000"/>
          <w:sz w:val="20"/>
          <w:u w:val="single"/>
          <w:lang w:val="en-GB"/>
        </w:rPr>
        <w:t>2</w:t>
      </w:r>
      <w:r w:rsidR="00C23143" w:rsidRPr="00260ADD">
        <w:rPr>
          <w:rFonts w:ascii="Times New Roman" w:hAnsi="Times New Roman"/>
          <w:b/>
          <w:color w:val="000000"/>
          <w:sz w:val="20"/>
          <w:u w:val="single"/>
          <w:lang w:val="en-GB"/>
        </w:rPr>
        <w:t xml:space="preserve"> pages</w:t>
      </w:r>
      <w:r w:rsidR="00C23143" w:rsidRPr="002A26A0">
        <w:rPr>
          <w:rFonts w:ascii="Times New Roman" w:hAnsi="Times New Roman"/>
          <w:color w:val="000000"/>
          <w:sz w:val="20"/>
          <w:lang w:val="en-GB"/>
        </w:rPr>
        <w:t>.</w:t>
      </w:r>
      <w:r w:rsidR="00C23143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C23143" w:rsidRPr="00DF1C16">
        <w:rPr>
          <w:rFonts w:ascii="Times New Roman" w:hAnsi="Times New Roman"/>
          <w:color w:val="000000"/>
          <w:sz w:val="20"/>
          <w:lang w:val="en-GB"/>
        </w:rPr>
        <w:t>You must not reduce margins or font-sizes or spacing to meet the page limit. You must not change the required formats to meet the page limit.</w:t>
      </w:r>
    </w:p>
    <w:p w14:paraId="31771D0C" w14:textId="77777777" w:rsidR="00C23143" w:rsidRPr="002A26A0" w:rsidRDefault="00C23143" w:rsidP="00356950">
      <w:pPr>
        <w:tabs>
          <w:tab w:val="left" w:pos="-284"/>
        </w:tabs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41A215B9" w14:textId="77777777" w:rsidR="00C23143" w:rsidRPr="002A26A0" w:rsidRDefault="00C23143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 w:rsidRPr="002A26A0">
        <w:rPr>
          <w:rFonts w:ascii="Times New Roman" w:hAnsi="Times New Roman"/>
          <w:b/>
          <w:color w:val="000000"/>
          <w:sz w:val="20"/>
          <w:lang w:val="en-GB"/>
        </w:rPr>
        <w:t>Table 1</w:t>
      </w:r>
      <w:r w:rsidRPr="002A26A0">
        <w:rPr>
          <w:rFonts w:ascii="Times New Roman" w:hAnsi="Times New Roman"/>
          <w:color w:val="000000"/>
          <w:sz w:val="20"/>
          <w:lang w:val="en-GB"/>
        </w:rPr>
        <w:t>. Table caption.</w:t>
      </w:r>
    </w:p>
    <w:p w14:paraId="0228352D" w14:textId="77777777" w:rsidR="00C23143" w:rsidRPr="002A26A0" w:rsidRDefault="00C23143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34"/>
        <w:gridCol w:w="2186"/>
      </w:tblGrid>
      <w:tr w:rsidR="00C23143" w:rsidRPr="002A26A0" w14:paraId="1E76B754" w14:textId="77777777" w:rsidTr="00B2457C">
        <w:trPr>
          <w:jc w:val="center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CA017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Column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67AA9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Column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69E0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Column</w:t>
            </w:r>
          </w:p>
        </w:tc>
      </w:tr>
      <w:tr w:rsidR="00C23143" w:rsidRPr="002A26A0" w14:paraId="04C9A36C" w14:textId="77777777" w:rsidTr="00B2457C">
        <w:trPr>
          <w:jc w:val="center"/>
        </w:trPr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4B63DC38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51042DDB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285FF869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</w:tr>
      <w:tr w:rsidR="00C23143" w:rsidRPr="002A26A0" w14:paraId="64E51E7A" w14:textId="77777777" w:rsidTr="00B2457C">
        <w:trPr>
          <w:jc w:val="center"/>
        </w:trPr>
        <w:tc>
          <w:tcPr>
            <w:tcW w:w="2434" w:type="dxa"/>
            <w:shd w:val="clear" w:color="auto" w:fill="auto"/>
          </w:tcPr>
          <w:p w14:paraId="468F2074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  <w:tc>
          <w:tcPr>
            <w:tcW w:w="2434" w:type="dxa"/>
            <w:shd w:val="clear" w:color="auto" w:fill="auto"/>
          </w:tcPr>
          <w:p w14:paraId="7BDCE125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  <w:tc>
          <w:tcPr>
            <w:tcW w:w="2186" w:type="dxa"/>
            <w:shd w:val="clear" w:color="auto" w:fill="auto"/>
          </w:tcPr>
          <w:p w14:paraId="63B654EE" w14:textId="77777777" w:rsidR="00C23143" w:rsidRPr="002A26A0" w:rsidRDefault="00C23143" w:rsidP="00356950">
            <w:pPr>
              <w:jc w:val="both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2A26A0">
              <w:rPr>
                <w:rFonts w:ascii="Times New Roman" w:hAnsi="Times New Roman"/>
                <w:color w:val="000000"/>
                <w:sz w:val="20"/>
                <w:lang w:val="en-GB"/>
              </w:rPr>
              <w:t>Table</w:t>
            </w:r>
          </w:p>
        </w:tc>
      </w:tr>
    </w:tbl>
    <w:p w14:paraId="44CF1D5D" w14:textId="77777777" w:rsidR="00C23143" w:rsidRPr="002A26A0" w:rsidRDefault="00C23143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58A659F7" w14:textId="77777777" w:rsidR="00C23143" w:rsidRPr="002A26A0" w:rsidRDefault="00C23143" w:rsidP="00356950">
      <w:pPr>
        <w:jc w:val="both"/>
        <w:rPr>
          <w:rFonts w:ascii="Times New Roman" w:hAnsi="Times New Roman"/>
          <w:noProof/>
          <w:sz w:val="20"/>
          <w:lang w:val="en-GB" w:eastAsia="pl-PL"/>
        </w:rPr>
      </w:pPr>
    </w:p>
    <w:p w14:paraId="00D64921" w14:textId="0D846D59" w:rsidR="00C23143" w:rsidRPr="002A26A0" w:rsidRDefault="00C23143" w:rsidP="00BD2DAD">
      <w:pPr>
        <w:jc w:val="center"/>
        <w:rPr>
          <w:rFonts w:ascii="Times New Roman" w:hAnsi="Times New Roman"/>
          <w:sz w:val="20"/>
          <w:lang w:val="en-GB"/>
        </w:rPr>
      </w:pPr>
      <w:r w:rsidRPr="002A26A0">
        <w:rPr>
          <w:lang w:val="en-GB"/>
        </w:rPr>
        <w:fldChar w:fldCharType="begin"/>
      </w:r>
      <w:r w:rsidRPr="002A26A0">
        <w:rPr>
          <w:lang w:val="en-GB"/>
        </w:rPr>
        <w:instrText xml:space="preserve"> INCLUDEPICTURE "http://www.kilgourlab.com/wp-content/uploads/2018/09/style-guide-600x385.png" \* MERGEFORMATINET </w:instrText>
      </w:r>
      <w:r w:rsidRPr="002A26A0">
        <w:rPr>
          <w:lang w:val="en-GB"/>
        </w:rPr>
        <w:fldChar w:fldCharType="separate"/>
      </w:r>
      <w:r w:rsidR="00A735D5">
        <w:rPr>
          <w:lang w:val="en-GB"/>
        </w:rPr>
        <w:fldChar w:fldCharType="begin"/>
      </w:r>
      <w:r w:rsidR="00A735D5">
        <w:rPr>
          <w:lang w:val="en-GB"/>
        </w:rPr>
        <w:instrText xml:space="preserve"> INCLUDEPICTURE  "http://www.kilgourlab.com/wp-content/uploads/2018/09/style-guide-600x385.png" \* MERGEFORMATINET </w:instrText>
      </w:r>
      <w:r w:rsidR="00A735D5">
        <w:rPr>
          <w:lang w:val="en-GB"/>
        </w:rPr>
        <w:fldChar w:fldCharType="separate"/>
      </w:r>
      <w:r w:rsidR="00000000">
        <w:rPr>
          <w:lang w:val="en-GB"/>
        </w:rPr>
        <w:fldChar w:fldCharType="begin"/>
      </w:r>
      <w:r w:rsidR="00000000">
        <w:rPr>
          <w:lang w:val="en-GB"/>
        </w:rPr>
        <w:instrText xml:space="preserve"> INCLUDEPICTURE  "http://www.kilgourlab.com/wp-content/uploads/2018/09/style-guide-600x385.png" \* MERGEFORMATINET </w:instrText>
      </w:r>
      <w:r w:rsidR="00000000">
        <w:rPr>
          <w:lang w:val="en-GB"/>
        </w:rPr>
        <w:fldChar w:fldCharType="separate"/>
      </w:r>
      <w:r w:rsidR="00000000">
        <w:rPr>
          <w:lang w:val="en-GB"/>
        </w:rPr>
        <w:pict w14:anchorId="65457A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phics Exercise - making publication quality scientific graphics -  Kilgour Laboratory" style="width:212.25pt;height:136.5pt">
            <v:imagedata r:id="rId8" r:href="rId9"/>
          </v:shape>
        </w:pict>
      </w:r>
      <w:r w:rsidR="00000000">
        <w:rPr>
          <w:lang w:val="en-GB"/>
        </w:rPr>
        <w:fldChar w:fldCharType="end"/>
      </w:r>
      <w:r w:rsidR="00A735D5">
        <w:rPr>
          <w:lang w:val="en-GB"/>
        </w:rPr>
        <w:fldChar w:fldCharType="end"/>
      </w:r>
      <w:r w:rsidRPr="002A26A0">
        <w:rPr>
          <w:lang w:val="en-GB"/>
        </w:rPr>
        <w:fldChar w:fldCharType="end"/>
      </w:r>
    </w:p>
    <w:p w14:paraId="37C015C9" w14:textId="77777777" w:rsidR="00C23143" w:rsidRPr="002A26A0" w:rsidRDefault="00C23143" w:rsidP="00BD2DAD">
      <w:pPr>
        <w:jc w:val="center"/>
        <w:rPr>
          <w:rFonts w:ascii="Times New Roman" w:hAnsi="Times New Roman"/>
          <w:sz w:val="20"/>
          <w:lang w:val="en-GB"/>
        </w:rPr>
      </w:pPr>
      <w:r w:rsidRPr="002A26A0">
        <w:rPr>
          <w:rFonts w:ascii="Times New Roman" w:hAnsi="Times New Roman"/>
          <w:b/>
          <w:sz w:val="20"/>
          <w:lang w:val="en-GB"/>
        </w:rPr>
        <w:t>Fig. 1.</w:t>
      </w:r>
      <w:r w:rsidRPr="002A26A0">
        <w:rPr>
          <w:rFonts w:ascii="Times New Roman" w:hAnsi="Times New Roman"/>
          <w:sz w:val="20"/>
          <w:lang w:val="en-GB"/>
        </w:rPr>
        <w:t xml:space="preserve"> Figure caption; </w:t>
      </w:r>
      <w:proofErr w:type="spellStart"/>
      <w:r w:rsidRPr="002A26A0">
        <w:rPr>
          <w:rFonts w:ascii="Times New Roman" w:hAnsi="Times New Roman"/>
          <w:sz w:val="20"/>
          <w:lang w:val="en-GB"/>
        </w:rPr>
        <w:t>cent</w:t>
      </w:r>
      <w:r>
        <w:rPr>
          <w:rFonts w:ascii="Times New Roman" w:hAnsi="Times New Roman"/>
          <w:sz w:val="20"/>
          <w:lang w:val="en-GB"/>
        </w:rPr>
        <w:t>e</w:t>
      </w:r>
      <w:r w:rsidRPr="002A26A0">
        <w:rPr>
          <w:rFonts w:ascii="Times New Roman" w:hAnsi="Times New Roman"/>
          <w:sz w:val="20"/>
          <w:lang w:val="en-GB"/>
        </w:rPr>
        <w:t>red</w:t>
      </w:r>
      <w:proofErr w:type="spellEnd"/>
      <w:r w:rsidRPr="002A26A0">
        <w:rPr>
          <w:rFonts w:ascii="Times New Roman" w:hAnsi="Times New Roman"/>
          <w:sz w:val="20"/>
          <w:lang w:val="en-GB"/>
        </w:rPr>
        <w:t>.</w:t>
      </w:r>
    </w:p>
    <w:p w14:paraId="4BC7A332" w14:textId="77777777" w:rsidR="00C23143" w:rsidRDefault="00C23143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72549B5B" w14:textId="38BAB4F5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 w:rsidRPr="00DF1C16">
        <w:rPr>
          <w:rFonts w:ascii="Times New Roman" w:hAnsi="Times New Roman"/>
          <w:color w:val="000000"/>
          <w:sz w:val="20"/>
          <w:lang w:val="en-GB"/>
        </w:rPr>
        <w:t>Every word in a title must be capitalized except for short minor words such as “a”, “an”, “and”, “as”, “at”, “by”, “for”, “from”, “if”, “in”, “into”, “on”, “or”, “of”, “the”, “to”, and “with”.</w:t>
      </w:r>
      <w:r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Pr="00DF1C16">
        <w:rPr>
          <w:rFonts w:ascii="Times New Roman" w:hAnsi="Times New Roman"/>
          <w:color w:val="000000"/>
          <w:sz w:val="20"/>
          <w:lang w:val="en-GB"/>
        </w:rPr>
        <w:t xml:space="preserve">Equations should be </w:t>
      </w:r>
      <w:proofErr w:type="spellStart"/>
      <w:r w:rsidRPr="00DF1C16">
        <w:rPr>
          <w:rFonts w:ascii="Times New Roman" w:hAnsi="Times New Roman"/>
          <w:color w:val="000000"/>
          <w:sz w:val="20"/>
          <w:lang w:val="en-GB"/>
        </w:rPr>
        <w:t>centered</w:t>
      </w:r>
      <w:proofErr w:type="spellEnd"/>
      <w:r w:rsidRPr="00DF1C16">
        <w:rPr>
          <w:rFonts w:ascii="Times New Roman" w:hAnsi="Times New Roman"/>
          <w:color w:val="000000"/>
          <w:sz w:val="20"/>
          <w:lang w:val="en-GB"/>
        </w:rPr>
        <w:t xml:space="preserve"> in the column and numbered sequentially. Place the equation number to the right of the equation within a parenthesis, with right justification within its column. An example would </w:t>
      </w:r>
      <w:proofErr w:type="gramStart"/>
      <w:r w:rsidRPr="00DF1C16">
        <w:rPr>
          <w:rFonts w:ascii="Times New Roman" w:hAnsi="Times New Roman"/>
          <w:color w:val="000000"/>
          <w:sz w:val="20"/>
          <w:lang w:val="en-GB"/>
        </w:rPr>
        <w:t>be</w:t>
      </w:r>
      <w:proofErr w:type="gramEnd"/>
    </w:p>
    <w:p w14:paraId="6DBCE76E" w14:textId="77777777" w:rsidR="00BD2DAD" w:rsidRPr="00DF1C16" w:rsidRDefault="00BD2DAD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32D8EA05" w14:textId="2FE0D19A" w:rsidR="004153BE" w:rsidRPr="00DF1C16" w:rsidRDefault="00000000" w:rsidP="00356950">
      <w:pPr>
        <w:jc w:val="center"/>
        <w:rPr>
          <w:rFonts w:ascii="Times New Roman" w:hAnsi="Times New Roman"/>
          <w:color w:val="000000"/>
          <w:sz w:val="20"/>
          <w:lang w:val="en-GB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="SimSun" w:hAnsi="Symbol"/>
                <w:i/>
                <w:sz w:val="20"/>
                <w:szCs w:val="24"/>
                <w:lang w:val="en-US" w:eastAsia="zh-CN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SimSun" w:hAnsi="Symbol"/>
                <w:sz w:val="20"/>
                <w:szCs w:val="24"/>
                <w:lang w:val="en-US" w:eastAsia="zh-CN"/>
              </w:rPr>
              <m:t>E</m:t>
            </m:r>
            <m:r>
              <w:rPr>
                <w:rFonts w:ascii="Cambria Math" w:eastAsia="SimSun" w:hAnsi="Cambria Math"/>
                <w:sz w:val="20"/>
                <w:szCs w:val="24"/>
                <w:lang w:val="en-US" w:eastAsia="zh-CN"/>
              </w:rPr>
              <m:t>∙</m:t>
            </m:r>
            <m:r>
              <w:rPr>
                <w:rFonts w:ascii="Cambria Math" w:eastAsia="SimSun" w:hAnsi="Symbol"/>
                <w:sz w:val="20"/>
                <w:szCs w:val="24"/>
                <w:lang w:val="en-US" w:eastAsia="zh-CN"/>
              </w:rPr>
              <m:t>d</m:t>
            </m:r>
            <m:r>
              <m:rPr>
                <m:sty m:val="bi"/>
              </m:rPr>
              <w:rPr>
                <w:rFonts w:ascii="Cambria Math" w:eastAsia="SimSun" w:hAnsi="Symbol"/>
                <w:sz w:val="20"/>
                <w:szCs w:val="24"/>
                <w:lang w:val="en-US" w:eastAsia="zh-CN"/>
              </w:rPr>
              <m:t>L</m:t>
            </m:r>
            <m:r>
              <w:rPr>
                <w:rFonts w:ascii="Cambria Math" w:eastAsia="SimSun" w:hAnsi="Symbol"/>
                <w:sz w:val="20"/>
                <w:szCs w:val="24"/>
                <w:lang w:val="en-US" w:eastAsia="zh-CN"/>
              </w:rPr>
              <m:t xml:space="preserve"> = </m:t>
            </m:r>
            <m:r>
              <w:rPr>
                <w:rFonts w:ascii="Cambria Math" w:eastAsia="SimSun" w:hAnsi="Symbol"/>
                <w:sz w:val="20"/>
                <w:szCs w:val="24"/>
                <w:lang w:val="en-US" w:eastAsia="zh-CN"/>
              </w:rPr>
              <m:t>-</m:t>
            </m:r>
            <m:f>
              <m:fPr>
                <m:ctrlPr>
                  <w:rPr>
                    <w:rFonts w:ascii="Cambria Math" w:eastAsia="SimSun" w:hAnsi="Symbol"/>
                    <w:i/>
                    <w:sz w:val="20"/>
                    <w:szCs w:val="24"/>
                    <w:lang w:val="en-US" w:eastAsia="zh-CN"/>
                  </w:rPr>
                </m:ctrlPr>
              </m:fPr>
              <m:num>
                <m:r>
                  <w:rPr>
                    <w:rFonts w:ascii="Cambria Math" w:eastAsia="SimSun" w:hAnsi="Symbol"/>
                    <w:sz w:val="20"/>
                    <w:szCs w:val="24"/>
                    <w:lang w:val="en-US" w:eastAsia="zh-CN"/>
                  </w:rPr>
                  <m:t>∂</m:t>
                </m:r>
              </m:num>
              <m:den>
                <m:r>
                  <w:rPr>
                    <w:rFonts w:ascii="Cambria Math" w:eastAsia="SimSun" w:hAnsi="Symbol"/>
                    <w:sz w:val="20"/>
                    <w:szCs w:val="24"/>
                    <w:lang w:val="en-US" w:eastAsia="zh-CN"/>
                  </w:rPr>
                  <m:t>∂t</m:t>
                </m:r>
              </m:den>
            </m:f>
            <m:nary>
              <m:naryPr>
                <m:chr m:val="∬"/>
                <m:limLoc m:val="undOvr"/>
                <m:subHide m:val="1"/>
                <m:supHide m:val="1"/>
                <m:ctrlPr>
                  <w:rPr>
                    <w:rFonts w:ascii="Cambria Math" w:eastAsia="SimSun" w:hAnsi="Symbol"/>
                    <w:i/>
                    <w:sz w:val="20"/>
                    <w:szCs w:val="24"/>
                    <w:lang w:val="en-US" w:eastAsia="zh-CN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="SimSun" w:hAnsi="Symbol"/>
                    <w:sz w:val="20"/>
                    <w:szCs w:val="24"/>
                    <w:lang w:val="en-US" w:eastAsia="zh-CN"/>
                  </w:rPr>
                  <m:t>B</m:t>
                </m:r>
                <m:r>
                  <w:rPr>
                    <w:rFonts w:ascii="Cambria Math" w:eastAsia="SimSun" w:hAnsi="Cambria Math"/>
                    <w:sz w:val="20"/>
                    <w:szCs w:val="24"/>
                    <w:lang w:val="en-US" w:eastAsia="zh-CN"/>
                  </w:rPr>
                  <m:t>∙</m:t>
                </m:r>
                <m:r>
                  <w:rPr>
                    <w:rFonts w:ascii="Cambria Math" w:eastAsia="SimSun" w:hAnsi="Symbol"/>
                    <w:sz w:val="20"/>
                    <w:szCs w:val="24"/>
                    <w:lang w:val="en-US" w:eastAsia="zh-CN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eastAsia="SimSun" w:hAnsi="Symbol"/>
                    <w:sz w:val="20"/>
                    <w:szCs w:val="24"/>
                    <w:lang w:val="en-US" w:eastAsia="zh-CN"/>
                  </w:rPr>
                  <m:t>S</m:t>
                </m:r>
              </m:e>
            </m:nary>
          </m:e>
        </m:nary>
      </m:oMath>
      <w:r w:rsidR="004153BE" w:rsidRPr="00DF1C16">
        <w:rPr>
          <w:rFonts w:ascii="Times New Roman" w:hAnsi="Times New Roman"/>
          <w:color w:val="000000"/>
          <w:sz w:val="20"/>
          <w:lang w:val="en-GB"/>
        </w:rPr>
        <w:tab/>
      </w:r>
      <w:r w:rsidR="004153BE" w:rsidRPr="00DF1C16">
        <w:rPr>
          <w:rFonts w:ascii="Times New Roman" w:hAnsi="Times New Roman"/>
          <w:color w:val="000000"/>
          <w:sz w:val="20"/>
          <w:lang w:val="en-GB"/>
        </w:rPr>
        <w:tab/>
        <w:t>(1)</w:t>
      </w:r>
    </w:p>
    <w:p w14:paraId="46969450" w14:textId="77777777" w:rsidR="004153BE" w:rsidRPr="00DF1C16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 w:rsidRPr="00DF1C16">
        <w:rPr>
          <w:rFonts w:ascii="Times New Roman" w:hAnsi="Times New Roman"/>
          <w:color w:val="000000"/>
          <w:sz w:val="20"/>
          <w:lang w:val="en-GB"/>
        </w:rPr>
        <w:t>or</w:t>
      </w:r>
    </w:p>
    <w:p w14:paraId="19C49A61" w14:textId="749E3F3C" w:rsidR="004153BE" w:rsidRPr="00DF1C16" w:rsidRDefault="004153BE" w:rsidP="00356950">
      <w:pPr>
        <w:jc w:val="center"/>
        <w:rPr>
          <w:rFonts w:ascii="Times New Roman" w:hAnsi="Times New Roman"/>
          <w:color w:val="000000"/>
          <w:sz w:val="20"/>
          <w:lang w:val="en-GB"/>
        </w:rPr>
      </w:pPr>
      <m:oMath>
        <m:r>
          <m:rPr>
            <m:sty m:val="p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>∇×</m:t>
        </m:r>
        <m:r>
          <m:rPr>
            <m:sty m:val="b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>H</m:t>
        </m:r>
        <m:r>
          <m:rPr>
            <m:sty m:val="p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>=</m:t>
        </m:r>
        <m:r>
          <m:rPr>
            <m:sty m:val="b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>J</m:t>
        </m:r>
        <m:r>
          <m:rPr>
            <m:sty m:val="p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>+</m:t>
        </m:r>
        <m:f>
          <m:fPr>
            <m:ctrlPr>
              <w:rPr>
                <w:rFonts w:ascii="Cambria Math" w:eastAsia="SimSun" w:hAnsi="Cambria Math"/>
                <w:sz w:val="20"/>
                <w:szCs w:val="24"/>
                <w:lang w:val="en-US"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/>
                <w:sz w:val="20"/>
                <w:szCs w:val="24"/>
                <w:lang w:val="en-US" w:eastAsia="zh-CN"/>
              </w:rPr>
              <m:t>∂</m:t>
            </m:r>
            <m:r>
              <m:rPr>
                <m:sty m:val="b"/>
              </m:rPr>
              <w:rPr>
                <w:rFonts w:ascii="Cambria Math" w:eastAsia="SimSun" w:hAnsi="Cambria Math"/>
                <w:sz w:val="20"/>
                <w:szCs w:val="24"/>
                <w:lang w:val="en-US" w:eastAsia="zh-CN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="SimSun" w:hAnsi="Cambria Math"/>
                <w:sz w:val="20"/>
                <w:szCs w:val="24"/>
                <w:lang w:val="en-US" w:eastAsia="zh-CN"/>
              </w:rPr>
              <m:t>∂t</m:t>
            </m:r>
          </m:den>
        </m:f>
        <m:r>
          <m:rPr>
            <m:sty m:val="p"/>
          </m:rPr>
          <w:rPr>
            <w:rFonts w:ascii="Cambria Math" w:eastAsia="SimSun" w:hAnsi="Cambria Math"/>
            <w:sz w:val="20"/>
            <w:szCs w:val="24"/>
            <w:lang w:val="en-US" w:eastAsia="zh-CN"/>
          </w:rPr>
          <m:t xml:space="preserve"> </m:t>
        </m:r>
      </m:oMath>
      <w:r w:rsidRPr="00DF1C16">
        <w:rPr>
          <w:rFonts w:ascii="Times New Roman" w:hAnsi="Times New Roman"/>
          <w:color w:val="000000"/>
          <w:sz w:val="20"/>
          <w:lang w:val="en-GB"/>
        </w:rPr>
        <w:tab/>
      </w:r>
      <w:r w:rsidRPr="00DF1C16">
        <w:rPr>
          <w:rFonts w:ascii="Times New Roman" w:hAnsi="Times New Roman"/>
          <w:color w:val="000000"/>
          <w:sz w:val="20"/>
          <w:lang w:val="en-GB"/>
        </w:rPr>
        <w:tab/>
        <w:t>(2)</w:t>
      </w:r>
    </w:p>
    <w:p w14:paraId="2663427F" w14:textId="77777777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48FAD203" w14:textId="77777777" w:rsidR="004153BE" w:rsidRDefault="004153BE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453B939B" w14:textId="199A7B00" w:rsidR="00374E0D" w:rsidRDefault="00374E0D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  <w:r w:rsidRPr="00DF1C16">
        <w:rPr>
          <w:rFonts w:ascii="Times New Roman" w:hAnsi="Times New Roman"/>
          <w:color w:val="000000"/>
          <w:sz w:val="20"/>
          <w:lang w:val="en-GB"/>
        </w:rPr>
        <w:lastRenderedPageBreak/>
        <w:t>All reference items must be in 8pt font.  Number the reference items consecutively in square brackets (e.g., [1]).</w:t>
      </w:r>
    </w:p>
    <w:p w14:paraId="19967BE1" w14:textId="77777777" w:rsidR="00374E0D" w:rsidRDefault="00374E0D" w:rsidP="00356950">
      <w:pPr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6A6CCEB4" w14:textId="327DA7AE" w:rsidR="00374E0D" w:rsidRDefault="00374E0D" w:rsidP="00B03D21">
      <w:pPr>
        <w:spacing w:after="60"/>
        <w:rPr>
          <w:rFonts w:ascii="Times New Roman" w:hAnsi="Times New Roman"/>
          <w:color w:val="000000"/>
          <w:sz w:val="20"/>
          <w:lang w:val="en-GB"/>
        </w:rPr>
      </w:pPr>
      <w:r>
        <w:rPr>
          <w:rFonts w:ascii="Times New Roman" w:hAnsi="Times New Roman"/>
          <w:color w:val="000000"/>
          <w:sz w:val="20"/>
          <w:lang w:val="en-GB"/>
        </w:rPr>
        <w:t>References</w:t>
      </w:r>
    </w:p>
    <w:p w14:paraId="0F572C85" w14:textId="77777777" w:rsidR="004153BE" w:rsidRPr="001C2133" w:rsidRDefault="004153BE" w:rsidP="004153BE">
      <w:pPr>
        <w:pStyle w:val="IMSReferenceItem"/>
      </w:pPr>
      <w:r w:rsidRPr="001C2133">
        <w:t xml:space="preserve">S. M. </w:t>
      </w:r>
      <w:proofErr w:type="spellStart"/>
      <w:r w:rsidRPr="001C2133">
        <w:t>Metev</w:t>
      </w:r>
      <w:proofErr w:type="spellEnd"/>
      <w:r w:rsidRPr="001C2133">
        <w:t xml:space="preserve"> and V. P. </w:t>
      </w:r>
      <w:proofErr w:type="spellStart"/>
      <w:r w:rsidRPr="001C2133">
        <w:t>Veiko</w:t>
      </w:r>
      <w:proofErr w:type="spellEnd"/>
      <w:r w:rsidRPr="001C2133">
        <w:t xml:space="preserve">, </w:t>
      </w:r>
      <w:r w:rsidRPr="001C2133">
        <w:rPr>
          <w:i/>
          <w:iCs/>
        </w:rPr>
        <w:t>Laser Assisted Microtechnology</w:t>
      </w:r>
      <w:r w:rsidRPr="001C2133">
        <w:t>, 2nd ed., R. M. Osgood, Jr., Ed.  Berlin, Germany: Springer-Verlag, 1998.</w:t>
      </w:r>
    </w:p>
    <w:p w14:paraId="1E5397BA" w14:textId="77777777" w:rsidR="004153BE" w:rsidRPr="001C2133" w:rsidRDefault="004153BE" w:rsidP="004153BE">
      <w:pPr>
        <w:pStyle w:val="IMSReferenceItem"/>
      </w:pPr>
      <w:r w:rsidRPr="001C2133">
        <w:t xml:space="preserve">J. Breckling, Ed., </w:t>
      </w:r>
      <w:r w:rsidRPr="001C2133">
        <w:rPr>
          <w:i/>
          <w:iCs/>
        </w:rPr>
        <w:t>The Analysis of Directional Time Series: Applications to Wind Speed and Direction</w:t>
      </w:r>
      <w:r w:rsidRPr="001C2133">
        <w:t>, ser. Lecture Notes in Statistics.  Berlin, Germany: Springer, 1989, vol. 61.</w:t>
      </w:r>
    </w:p>
    <w:p w14:paraId="07F070E6" w14:textId="77777777" w:rsidR="004153BE" w:rsidRPr="001C2133" w:rsidRDefault="004153BE" w:rsidP="004153BE">
      <w:pPr>
        <w:pStyle w:val="IMSReferenceItem"/>
      </w:pPr>
      <w:r w:rsidRPr="001C2133">
        <w:t xml:space="preserve">S. Zhang, C. Zhu, J. K. O. Sin, and P. K. T. Mok, “A novel ultrathin elevated channel low-temperature poly-Si TFT,” </w:t>
      </w:r>
      <w:r w:rsidRPr="001C2133">
        <w:rPr>
          <w:i/>
          <w:iCs/>
        </w:rPr>
        <w:t>IEEE Electron Device Lett.</w:t>
      </w:r>
      <w:r w:rsidRPr="001C2133">
        <w:t>, vol. 20, pp. 569–571, Nov. 1999.</w:t>
      </w:r>
    </w:p>
    <w:p w14:paraId="2E27CF1E" w14:textId="77777777" w:rsidR="004153BE" w:rsidRPr="001C2133" w:rsidRDefault="004153BE" w:rsidP="004153BE">
      <w:pPr>
        <w:pStyle w:val="IMSReferenceItem"/>
      </w:pPr>
      <w:r w:rsidRPr="001C2133">
        <w:t xml:space="preserve">M. </w:t>
      </w:r>
      <w:proofErr w:type="spellStart"/>
      <w:r w:rsidRPr="001C2133">
        <w:t>Wegmuller</w:t>
      </w:r>
      <w:proofErr w:type="spellEnd"/>
      <w:r w:rsidRPr="001C2133">
        <w:t xml:space="preserve">, J. P. von der Weid, P. Oberson, and N. Gisin, “High resolution fiber distributed measurements with coherent OFDR,” in </w:t>
      </w:r>
      <w:r w:rsidRPr="001C2133">
        <w:rPr>
          <w:i/>
          <w:iCs/>
        </w:rPr>
        <w:t>Proc. ECOC’00</w:t>
      </w:r>
      <w:r w:rsidRPr="001C2133">
        <w:t>, 2000, paper 11.3.4, p. 109.</w:t>
      </w:r>
    </w:p>
    <w:p w14:paraId="48418824" w14:textId="77777777" w:rsidR="004153BE" w:rsidRPr="001C2133" w:rsidRDefault="004153BE" w:rsidP="004153BE">
      <w:pPr>
        <w:pStyle w:val="IMSReferenceItem"/>
      </w:pPr>
      <w:r w:rsidRPr="001C2133">
        <w:t>R. E. Sorace, V. S. Reinhardt, and S. A. Vaughn, “High-speed digital-to-RF converter,” U.S. Patent 5 668 842, Sep. 16, 1997.</w:t>
      </w:r>
    </w:p>
    <w:p w14:paraId="1510A98B" w14:textId="77777777" w:rsidR="004153BE" w:rsidRPr="001C2133" w:rsidRDefault="004153BE" w:rsidP="004153BE">
      <w:pPr>
        <w:pStyle w:val="IMSReferenceItem"/>
      </w:pPr>
      <w:r>
        <w:t>(2015</w:t>
      </w:r>
      <w:r w:rsidRPr="001C2133">
        <w:t>) The IEEE website. [Online]. Available: http://www.ieee.org/</w:t>
      </w:r>
    </w:p>
    <w:p w14:paraId="3B44F284" w14:textId="77777777" w:rsidR="004153BE" w:rsidRPr="001C2133" w:rsidRDefault="004153BE" w:rsidP="004153BE">
      <w:pPr>
        <w:pStyle w:val="IMSReferenceItem"/>
      </w:pPr>
      <w:r>
        <w:t>M. Shell. (2015</w:t>
      </w:r>
      <w:r w:rsidRPr="001C2133">
        <w:t xml:space="preserve">) </w:t>
      </w:r>
      <w:proofErr w:type="spellStart"/>
      <w:r w:rsidRPr="001C2133">
        <w:t>IEEEtran</w:t>
      </w:r>
      <w:proofErr w:type="spellEnd"/>
      <w:r w:rsidRPr="001C2133">
        <w:t xml:space="preserve"> webpage on CTAN. [Online]. Available: </w:t>
      </w:r>
      <w:r w:rsidRPr="00BA2E2A">
        <w:rPr>
          <w:lang w:val="en-AU"/>
        </w:rPr>
        <w:t>http://www.ctan.org/pkg/ieeetran</w:t>
      </w:r>
    </w:p>
    <w:p w14:paraId="5F18948F" w14:textId="77777777" w:rsidR="004153BE" w:rsidRPr="001C2133" w:rsidRDefault="004153BE" w:rsidP="004153BE">
      <w:pPr>
        <w:pStyle w:val="IMSReferenceItem"/>
      </w:pPr>
      <w:proofErr w:type="spellStart"/>
      <w:r w:rsidRPr="001C2133">
        <w:rPr>
          <w:i/>
          <w:iCs/>
        </w:rPr>
        <w:t>FLEXChip</w:t>
      </w:r>
      <w:proofErr w:type="spellEnd"/>
      <w:r w:rsidRPr="001C2133">
        <w:rPr>
          <w:i/>
          <w:iCs/>
        </w:rPr>
        <w:t xml:space="preserve"> Signal Processor (MC68175/D)</w:t>
      </w:r>
      <w:r w:rsidRPr="001C2133">
        <w:t>, Motorola, 1996.</w:t>
      </w:r>
    </w:p>
    <w:p w14:paraId="4D080D49" w14:textId="77777777" w:rsidR="004153BE" w:rsidRPr="00B41109" w:rsidRDefault="004153BE" w:rsidP="004153BE">
      <w:pPr>
        <w:pStyle w:val="IMSReferenceItem"/>
        <w:rPr>
          <w:lang w:val="it-IT"/>
        </w:rPr>
      </w:pPr>
      <w:r w:rsidRPr="00B41109">
        <w:rPr>
          <w:lang w:val="it-IT"/>
        </w:rPr>
        <w:t>“PDCA12-70 data sheet,” Opto Speed SA, Mezzovico, Switzerland.</w:t>
      </w:r>
    </w:p>
    <w:p w14:paraId="48F29378" w14:textId="77777777" w:rsidR="004153BE" w:rsidRPr="001C2133" w:rsidRDefault="004153BE" w:rsidP="004153BE">
      <w:pPr>
        <w:pStyle w:val="IMSReferenceItem"/>
      </w:pPr>
      <w:r w:rsidRPr="001C2133">
        <w:t>A. Karnik, “Performance of TCP congestion control with rate feedback: TCP/ABR and rate adaptive TCP/IP,” M. Eng. thesis, Indian Institute of Science, Bangalore, India, Jan. 1999.</w:t>
      </w:r>
    </w:p>
    <w:p w14:paraId="14C67F52" w14:textId="77777777" w:rsidR="0087539A" w:rsidRDefault="004153BE" w:rsidP="004153BE">
      <w:pPr>
        <w:pStyle w:val="IMSReferenceItem"/>
      </w:pPr>
      <w:r w:rsidRPr="001C2133">
        <w:t xml:space="preserve">J. Padhye, V. </w:t>
      </w:r>
      <w:proofErr w:type="spellStart"/>
      <w:r w:rsidRPr="001C2133">
        <w:t>Firoiu</w:t>
      </w:r>
      <w:proofErr w:type="spellEnd"/>
      <w:r w:rsidRPr="001C2133">
        <w:t>, and D. Towsley, “A stochastic model of TCP Reno congestion avoidance and control,” Univ. of Massachusetts, Amherst, MA, CMPSCI Tech. Rep. 99-02, 1999.</w:t>
      </w:r>
    </w:p>
    <w:p w14:paraId="24A1F3B9" w14:textId="47B563E7" w:rsidR="004153BE" w:rsidRDefault="004153BE" w:rsidP="004153BE">
      <w:pPr>
        <w:pStyle w:val="IMSReferenceItem"/>
      </w:pPr>
      <w:r w:rsidRPr="0087539A">
        <w:rPr>
          <w:i/>
          <w:iCs/>
        </w:rPr>
        <w:t>Wireless LAN Medium Access Control (MAC) and Physical Layer (PHY) Specification</w:t>
      </w:r>
      <w:r w:rsidRPr="001C2133">
        <w:t>, IEEE Std. 802.11, 1997.</w:t>
      </w:r>
    </w:p>
    <w:sectPr w:rsidR="004153BE" w:rsidSect="006C37D8">
      <w:footerReference w:type="default" r:id="rId10"/>
      <w:pgSz w:w="11906" w:h="16838"/>
      <w:pgMar w:top="1134" w:right="1021" w:bottom="851" w:left="102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6BF3" w14:textId="77777777" w:rsidR="00E63567" w:rsidRDefault="00E63567" w:rsidP="00BD2DAD">
      <w:r>
        <w:separator/>
      </w:r>
    </w:p>
  </w:endnote>
  <w:endnote w:type="continuationSeparator" w:id="0">
    <w:p w14:paraId="4B8525BE" w14:textId="77777777" w:rsidR="00E63567" w:rsidRDefault="00E63567" w:rsidP="00BD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60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655D9" w14:textId="35DC7151" w:rsidR="00A735D5" w:rsidRDefault="00A73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691F8" w14:textId="77777777" w:rsidR="00BD2DAD" w:rsidRDefault="00BD2DAD" w:rsidP="00BD2D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66E" w14:textId="77777777" w:rsidR="00E63567" w:rsidRDefault="00E63567" w:rsidP="00BD2DAD">
      <w:r>
        <w:separator/>
      </w:r>
    </w:p>
  </w:footnote>
  <w:footnote w:type="continuationSeparator" w:id="0">
    <w:p w14:paraId="1532DEA8" w14:textId="77777777" w:rsidR="00E63567" w:rsidRDefault="00E63567" w:rsidP="00BD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861"/>
    <w:multiLevelType w:val="multilevel"/>
    <w:tmpl w:val="33909A1A"/>
    <w:lvl w:ilvl="0">
      <w:start w:val="1"/>
      <w:numFmt w:val="decimal"/>
      <w:pStyle w:val="IMSReferenceItem"/>
      <w:lvlText w:val="[%1]"/>
      <w:lvlJc w:val="right"/>
      <w:pPr>
        <w:tabs>
          <w:tab w:val="num" w:pos="427"/>
        </w:tabs>
        <w:ind w:left="427" w:hanging="14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1"/>
        </w:tabs>
        <w:ind w:left="20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1"/>
        </w:tabs>
        <w:ind w:left="2011" w:hanging="1800"/>
      </w:pPr>
      <w:rPr>
        <w:rFonts w:hint="default"/>
      </w:rPr>
    </w:lvl>
  </w:abstractNum>
  <w:num w:numId="1" w16cid:durableId="32637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85"/>
    <w:rsid w:val="000832A8"/>
    <w:rsid w:val="0018021F"/>
    <w:rsid w:val="0024166A"/>
    <w:rsid w:val="002D0D3A"/>
    <w:rsid w:val="0030270B"/>
    <w:rsid w:val="00356950"/>
    <w:rsid w:val="00374E0D"/>
    <w:rsid w:val="00386271"/>
    <w:rsid w:val="00394F96"/>
    <w:rsid w:val="003A1B7D"/>
    <w:rsid w:val="003A5752"/>
    <w:rsid w:val="004153BE"/>
    <w:rsid w:val="00491233"/>
    <w:rsid w:val="004D239D"/>
    <w:rsid w:val="005110CD"/>
    <w:rsid w:val="005305FF"/>
    <w:rsid w:val="006C37D8"/>
    <w:rsid w:val="007D5689"/>
    <w:rsid w:val="0086158D"/>
    <w:rsid w:val="00871EF0"/>
    <w:rsid w:val="0087539A"/>
    <w:rsid w:val="008950E4"/>
    <w:rsid w:val="008B2251"/>
    <w:rsid w:val="00A735D5"/>
    <w:rsid w:val="00A91BC7"/>
    <w:rsid w:val="00AF4C34"/>
    <w:rsid w:val="00B03D21"/>
    <w:rsid w:val="00B61F42"/>
    <w:rsid w:val="00BB08D3"/>
    <w:rsid w:val="00BD2DAD"/>
    <w:rsid w:val="00C163F1"/>
    <w:rsid w:val="00C218D1"/>
    <w:rsid w:val="00C23143"/>
    <w:rsid w:val="00CD1685"/>
    <w:rsid w:val="00D072FE"/>
    <w:rsid w:val="00D82935"/>
    <w:rsid w:val="00E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3C47"/>
  <w15:chartTrackingRefBased/>
  <w15:docId w15:val="{DD3DE0B9-8150-4A8E-9CBE-4733CB75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D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qFormat/>
    <w:rsid w:val="004153BE"/>
    <w:pPr>
      <w:keepNext/>
      <w:numPr>
        <w:ilvl w:val="2"/>
        <w:numId w:val="1"/>
      </w:numPr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153BE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MSReferenceItem">
    <w:name w:val="IMS Reference Item"/>
    <w:basedOn w:val="Normal"/>
    <w:qFormat/>
    <w:rsid w:val="004153BE"/>
    <w:pPr>
      <w:numPr>
        <w:numId w:val="1"/>
      </w:numPr>
      <w:adjustRightInd w:val="0"/>
      <w:snapToGrid w:val="0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83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AD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D2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AD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mpere202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kilgourlab.com/wp-content/uploads/2018/09/style-guide-600x38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Slocombe</dc:creator>
  <cp:keywords/>
  <dc:description/>
  <cp:lastModifiedBy>Daniel Slocombe</cp:lastModifiedBy>
  <cp:revision>35</cp:revision>
  <dcterms:created xsi:type="dcterms:W3CDTF">2023-01-26T10:06:00Z</dcterms:created>
  <dcterms:modified xsi:type="dcterms:W3CDTF">2023-02-01T13:32:00Z</dcterms:modified>
</cp:coreProperties>
</file>